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B7" w:rsidRDefault="00F91BB7" w:rsidP="00F91BB7">
      <w:pP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ANEXO I - </w:t>
      </w: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BAREMA DE AVALIAÇÃO ACADÊMICA E CURRICULAR</w:t>
      </w:r>
    </w:p>
    <w:tbl>
      <w:tblPr>
        <w:tblW w:w="90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26"/>
        <w:gridCol w:w="2191"/>
        <w:gridCol w:w="1154"/>
        <w:gridCol w:w="1154"/>
      </w:tblGrid>
      <w:tr w:rsidR="00F91BB7" w:rsidTr="00391159">
        <w:trPr>
          <w:jc w:val="center"/>
        </w:trPr>
        <w:tc>
          <w:tcPr>
            <w:tcW w:w="4526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Item</w:t>
            </w:r>
          </w:p>
        </w:tc>
        <w:tc>
          <w:tcPr>
            <w:tcW w:w="2191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Pontuações</w:t>
            </w:r>
          </w:p>
        </w:tc>
        <w:tc>
          <w:tcPr>
            <w:tcW w:w="1154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Pontuação Máxima</w:t>
            </w:r>
          </w:p>
        </w:tc>
        <w:tc>
          <w:tcPr>
            <w:tcW w:w="1154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Pontuação atribuída pelo candidato</w:t>
            </w:r>
          </w:p>
        </w:tc>
      </w:tr>
      <w:tr w:rsidR="00F91BB7" w:rsidTr="00391159">
        <w:trPr>
          <w:trHeight w:val="324"/>
          <w:jc w:val="center"/>
        </w:trPr>
        <w:tc>
          <w:tcPr>
            <w:tcW w:w="9025" w:type="dxa"/>
            <w:gridSpan w:val="4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Formação Acadêmica (50%)</w:t>
            </w: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1. Duração do curso de graduação em áreas de Ciências Exatas e da Terra, Engenharias, Ciências Biológicas e da Saúde e outras áreas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Até 12 semestres letivos (30);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Mais de 12 até 14 semestres letivos (25);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Mais de 14 até 16 semestres letivos (10).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30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Tempo decorrido entre o término da graduação e a inscrição no presente Edital de seleção. 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Até 1 ano (25);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Mais de 1 ano e até 2 anos (15);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Mais de 2 anos e até 5 anos (5).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25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9"/>
                <w:sz w:val="12"/>
                <w:szCs w:val="12"/>
              </w:rPr>
            </w:pPr>
            <w:sdt>
              <w:sdtPr>
                <w:tag w:val="goog_rdk_0"/>
                <w:id w:val="1329191411"/>
              </w:sdtPr>
              <w:sdtContent>
                <w:r>
                  <w:rPr>
                    <w:rFonts w:ascii="Gungsuh" w:eastAsia="Gungsuh" w:hAnsi="Gungsuh" w:cs="Gungsuh"/>
                    <w:color w:val="000009"/>
                    <w:sz w:val="16"/>
                    <w:szCs w:val="16"/>
                  </w:rPr>
                  <w:t>3. Média das notas obtidas nas disciplinas do curso de graduação em áreas de Ciências Exatas e da Terra, Engenharias, Ciências Biológicas e da Saúde e outras áreas correlatas [(A: notas ≥ 9); (B: notas ≥ 7 a &lt; 9); (C: notas ≥ 5 a &lt; 7)]</w:t>
                </w:r>
              </w:sdtContent>
            </w:sdt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A (25);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B (15);</w:t>
            </w:r>
          </w:p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 (10).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25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4. Curso de Pós-graduação em áreas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5. Formação em cursos técnicos em áreas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502"/>
          <w:jc w:val="center"/>
        </w:trPr>
        <w:tc>
          <w:tcPr>
            <w:tcW w:w="67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Total da Formação Acadêmica (TFA)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100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400"/>
          <w:jc w:val="center"/>
        </w:trPr>
        <w:tc>
          <w:tcPr>
            <w:tcW w:w="9025" w:type="dxa"/>
            <w:gridSpan w:val="4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Curriculum Lattes (40%)</w:t>
            </w: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6. Iniciação Científica ou Tecnológica 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 pontos a cada seis meses.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30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7. Monitoria de Ensino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 pontos a cada seis meses.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8. Iniciação à Extensão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 pontos a cada seis meses.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9. Artigos (publicados ou aceitos) em revistas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Qualis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A ou com índice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percentile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equivalente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Primeiro autor: 10 pontos</w:t>
            </w:r>
          </w:p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Co-autor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: 5 pontos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40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10. Artigos (publicados ou aceitos) em revistas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Qualis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B1 e B2 ou com índice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percentile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equivalente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Primeiro autor: 6 pontos</w:t>
            </w:r>
          </w:p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Co-autor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: 3 pontos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11. Artigos (publicados ou aceitos) em revistas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Qualis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B3 e B4 ou com índice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percentile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 equivalente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Primeiro autor: 4 pontos</w:t>
            </w:r>
          </w:p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Co-autor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: 2 pontos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12. Processos, produtos tecnológicos e softwares com pedido de patente ou registro requerido ao INPI ou a outro órgão internacional equivalente.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 pontos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13. Trabalho completo publicado em anais de congresso científico na área de Materiais ou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Primeiro autor: 2 pontos</w:t>
            </w:r>
          </w:p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Co-autor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: 1 pontos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14. Apresentação de trabalhos em congressos nacionais/internacionais na área de Materiais ou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 por apresentação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5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 xml:space="preserve">15. Apresentação de trabalhos em congressos regionais/locais na </w:t>
            </w: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lastRenderedPageBreak/>
              <w:t>área de Materiais ou correlatas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lastRenderedPageBreak/>
              <w:t>0,5 por apresentação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3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lastRenderedPageBreak/>
              <w:t xml:space="preserve">16. Atividades de docência em nível superior 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0,5 por semestre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17. Atividades adicionais relacionadas à formação acadêmica e científica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0,5 por semestre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18. Participação em reuniões científicas (congressos, simpósios, workshops, encontros, entre outros)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0,2 por participação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2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360"/>
          <w:jc w:val="center"/>
        </w:trPr>
        <w:tc>
          <w:tcPr>
            <w:tcW w:w="67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Total Curriculum Lattes (TCL)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Máximo 100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360"/>
          <w:jc w:val="center"/>
        </w:trPr>
        <w:tc>
          <w:tcPr>
            <w:tcW w:w="9025" w:type="dxa"/>
            <w:gridSpan w:val="4"/>
            <w:shd w:val="clear" w:color="auto" w:fill="9BBB5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>Alunos Especiais (15%)</w:t>
            </w:r>
          </w:p>
        </w:tc>
      </w:tr>
      <w:tr w:rsidR="00F91BB7" w:rsidTr="00391159">
        <w:trPr>
          <w:trHeight w:val="360"/>
          <w:jc w:val="center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19. Já ter cursado (com aprovação) disciplinas no PROMAT na condição de Estudante com matrícula especial</w:t>
            </w:r>
          </w:p>
        </w:tc>
        <w:tc>
          <w:tcPr>
            <w:tcW w:w="2191" w:type="dxa"/>
            <w:shd w:val="clear" w:color="auto" w:fill="auto"/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35 pontos por disciplina</w:t>
            </w:r>
          </w:p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cursada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360"/>
          <w:jc w:val="center"/>
        </w:trPr>
        <w:tc>
          <w:tcPr>
            <w:tcW w:w="67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Total da Condição de Aluno Especial (TAE)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100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400"/>
          <w:jc w:val="center"/>
        </w:trPr>
        <w:tc>
          <w:tcPr>
            <w:tcW w:w="9025" w:type="dxa"/>
            <w:gridSpan w:val="4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20"/>
                <w:szCs w:val="20"/>
              </w:rPr>
              <w:t xml:space="preserve">Cartas de Recomendação (10%)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(Uso exclusivo da Comissão de Seleção)</w:t>
            </w:r>
          </w:p>
        </w:tc>
      </w:tr>
      <w:tr w:rsidR="00F91BB7" w:rsidTr="00391159">
        <w:trPr>
          <w:trHeight w:val="360"/>
          <w:jc w:val="center"/>
        </w:trPr>
        <w:tc>
          <w:tcPr>
            <w:tcW w:w="671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  <w:t>Média aritmética das pontuações obtidas nas duas Cartas de Recomendação (MCR)</w:t>
            </w:r>
          </w:p>
        </w:tc>
        <w:tc>
          <w:tcPr>
            <w:tcW w:w="11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100</w:t>
            </w:r>
          </w:p>
        </w:tc>
        <w:tc>
          <w:tcPr>
            <w:tcW w:w="1154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  <w:tr w:rsidR="00F91BB7" w:rsidTr="00391159">
        <w:trPr>
          <w:trHeight w:val="360"/>
          <w:jc w:val="center"/>
        </w:trPr>
        <w:tc>
          <w:tcPr>
            <w:tcW w:w="6717" w:type="dxa"/>
            <w:gridSpan w:val="2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Nota Final</w:t>
            </w:r>
          </w:p>
        </w:tc>
        <w:tc>
          <w:tcPr>
            <w:tcW w:w="1154" w:type="dxa"/>
            <w:tcBorders>
              <w:left w:val="nil"/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9"/>
                <w:sz w:val="16"/>
                <w:szCs w:val="16"/>
              </w:rPr>
              <w:t>10</w:t>
            </w:r>
          </w:p>
        </w:tc>
        <w:tc>
          <w:tcPr>
            <w:tcW w:w="1154" w:type="dxa"/>
            <w:tcBorders>
              <w:lef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1BB7" w:rsidRDefault="00F91BB7" w:rsidP="0039115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9"/>
                <w:sz w:val="16"/>
                <w:szCs w:val="16"/>
              </w:rPr>
            </w:pPr>
          </w:p>
        </w:tc>
      </w:tr>
    </w:tbl>
    <w:p w:rsidR="00F91BB7" w:rsidRDefault="00F91BB7" w:rsidP="00F91BB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</w:p>
    <w:p w:rsidR="00F91BB7" w:rsidRDefault="00F91BB7" w:rsidP="00F91BB7">
      <w:pPr>
        <w:spacing w:line="360" w:lineRule="auto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A nota final de cada pleiteante será calculada da seguinte forma:</w:t>
      </w:r>
    </w:p>
    <w:p w:rsidR="00F91BB7" w:rsidRDefault="00F91BB7" w:rsidP="00F91BB7">
      <w:pPr>
        <w:spacing w:line="360" w:lineRule="auto"/>
        <w:ind w:left="851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Nota Final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=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</w:rPr>
        <w:t>[(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  <w:u w:val="single"/>
        </w:rPr>
        <w:t>TFA × 0, 50) + (TCL × 0, 25) + (TAE × 0, 15) + (MCR × 0, 10)]</w:t>
      </w:r>
    </w:p>
    <w:p w:rsidR="00F91BB7" w:rsidRDefault="00F91BB7" w:rsidP="00F91BB7">
      <w:pPr>
        <w:spacing w:line="360" w:lineRule="auto"/>
        <w:ind w:left="5245"/>
        <w:jc w:val="both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10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Para efeitos de cômputo dos pontos, serão considerados os seguintes critérios: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• o ano da seleção e os cinco anos civis anteriores.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• trabalhos científicos referentes à área de Ciência dos Materiais e áreas afins;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trabalho(</w:t>
      </w:r>
      <w:proofErr w:type="gram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s) apresentado(s) em mais de um evento será(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ão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) pontuado(s) uma única vez;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• em caso de o periódico não ter classificação no </w:t>
      </w:r>
      <w:proofErr w:type="spellStart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Qualis</w:t>
      </w:r>
      <w:proofErr w:type="spellEnd"/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CAPES, será usado o índice percentil da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</w:pPr>
      <w:r w:rsidRPr="00F65670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Scopus (</w:t>
      </w:r>
      <w:hyperlink r:id="rId6" w:history="1">
        <w:r w:rsidRPr="001870DD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https://www.scopus.com/sources</w:t>
        </w:r>
      </w:hyperlink>
      <w:r w:rsidRPr="00F65670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).</w:t>
      </w: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</w:pPr>
    </w:p>
    <w:p w:rsidR="00F91BB7" w:rsidRDefault="00F91BB7" w:rsidP="00F91BB7">
      <w:pPr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</w:pPr>
    </w:p>
    <w:p w:rsidR="00F91BB7" w:rsidRPr="00FD0215" w:rsidRDefault="00F91BB7" w:rsidP="00F91BB7">
      <w:pPr>
        <w:widowControl w:val="0"/>
        <w:ind w:left="76" w:right="456"/>
        <w:jc w:val="center"/>
        <w:rPr>
          <w:rFonts w:ascii="Times New Roman" w:eastAsia="Times New Roman" w:hAnsi="Times New Roman" w:cs="Times New Roman"/>
          <w:bCs/>
        </w:rPr>
      </w:pPr>
      <w:r w:rsidRPr="00FD0215">
        <w:rPr>
          <w:rFonts w:ascii="Times New Roman" w:eastAsia="Times New Roman" w:hAnsi="Times New Roman" w:cs="Times New Roman"/>
          <w:bCs/>
        </w:rPr>
        <w:t>Data: ______________ Assinatura: _____________________________________</w:t>
      </w:r>
    </w:p>
    <w:p w:rsidR="00F91BB7" w:rsidRPr="00F65670" w:rsidRDefault="00F91BB7" w:rsidP="00F91BB7">
      <w:pPr>
        <w:spacing w:before="240" w:line="360" w:lineRule="auto"/>
        <w:jc w:val="both"/>
        <w:rPr>
          <w:rFonts w:ascii="Calibri" w:eastAsia="Calibri" w:hAnsi="Calibri" w:cs="Calibri"/>
          <w:color w:val="000009"/>
          <w:sz w:val="24"/>
          <w:szCs w:val="24"/>
          <w:lang w:val="en-US"/>
        </w:rPr>
      </w:pPr>
      <w:bookmarkStart w:id="0" w:name="_GoBack"/>
      <w:bookmarkEnd w:id="0"/>
    </w:p>
    <w:p w:rsidR="00A5143B" w:rsidRDefault="00A5143B"/>
    <w:sectPr w:rsidR="00A5143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9D5" w:rsidRDefault="001E19D5" w:rsidP="00F91BB7">
      <w:pPr>
        <w:spacing w:line="240" w:lineRule="auto"/>
      </w:pPr>
      <w:r>
        <w:separator/>
      </w:r>
    </w:p>
  </w:endnote>
  <w:endnote w:type="continuationSeparator" w:id="0">
    <w:p w:rsidR="001E19D5" w:rsidRDefault="001E19D5" w:rsidP="00F91B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9D5" w:rsidRDefault="001E19D5" w:rsidP="00F91BB7">
      <w:pPr>
        <w:spacing w:line="240" w:lineRule="auto"/>
      </w:pPr>
      <w:r>
        <w:separator/>
      </w:r>
    </w:p>
  </w:footnote>
  <w:footnote w:type="continuationSeparator" w:id="0">
    <w:p w:rsidR="001E19D5" w:rsidRDefault="001E19D5" w:rsidP="00F91B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04" w:type="dxa"/>
      <w:tblInd w:w="-115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108"/>
      <w:gridCol w:w="6662"/>
      <w:gridCol w:w="1134"/>
    </w:tblGrid>
    <w:tr w:rsidR="00F91BB7" w:rsidTr="00F91BB7">
      <w:tc>
        <w:tcPr>
          <w:tcW w:w="1108" w:type="dxa"/>
          <w:vAlign w:val="center"/>
        </w:tcPr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color w:val="000000"/>
              <w:lang w:eastAsia="pt-BR"/>
            </w:rPr>
            <w:drawing>
              <wp:inline distT="0" distB="0" distL="0" distR="0" wp14:anchorId="2C0343C3" wp14:editId="144B69C2">
                <wp:extent cx="489098" cy="606056"/>
                <wp:effectExtent l="0" t="0" r="6350" b="3810"/>
                <wp:docPr id="3" name="image1.png" descr="brasao_escolh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ao_escolhido.png"/>
                        <pic:cNvPicPr preferRelativeResize="0"/>
                      </pic:nvPicPr>
                      <pic:blipFill>
                        <a:blip r:embed="rId1"/>
                        <a:srcRect t="9562" b="828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0258" cy="60749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b/>
              <w:bCs/>
              <w:color w:val="000000"/>
              <w:sz w:val="20"/>
              <w:szCs w:val="20"/>
            </w:rPr>
          </w:pPr>
        </w:p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UNIVERSIDADE FEDERAL DO OESTE DA BAHIA</w:t>
          </w:r>
        </w:p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CENTRO DAS CIÊNCIAS EXATAS E DAS TECNOLOGIAS</w:t>
          </w:r>
        </w:p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PROGRAMA DE PÓS-GRADUAÇÃO EM CIÊNCIA DOS MATERIAIS</w:t>
          </w:r>
        </w:p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bCs/>
              <w:color w:val="FF0000"/>
              <w:sz w:val="20"/>
              <w:szCs w:val="20"/>
            </w:rPr>
          </w:pPr>
        </w:p>
      </w:tc>
      <w:tc>
        <w:tcPr>
          <w:tcW w:w="1134" w:type="dxa"/>
          <w:vAlign w:val="center"/>
        </w:tcPr>
        <w:p w:rsidR="00F91BB7" w:rsidRDefault="00F91BB7" w:rsidP="00F91B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b/>
              <w:bCs/>
              <w:noProof/>
              <w:color w:val="FF0000"/>
              <w:sz w:val="20"/>
              <w:szCs w:val="20"/>
              <w:lang w:eastAsia="pt-BR"/>
            </w:rPr>
            <w:drawing>
              <wp:inline distT="0" distB="0" distL="0" distR="0" wp14:anchorId="2C24E9C1" wp14:editId="1F286662">
                <wp:extent cx="574158" cy="542261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981" cy="5487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F91BB7" w:rsidRDefault="00F91B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B7"/>
    <w:rsid w:val="001E19D5"/>
    <w:rsid w:val="00A5143B"/>
    <w:rsid w:val="00F9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8C6D"/>
  <w15:chartTrackingRefBased/>
  <w15:docId w15:val="{116B0049-F7E5-437B-AD72-31A88681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91BB7"/>
    <w:pPr>
      <w:spacing w:after="0" w:line="276" w:lineRule="auto"/>
    </w:pPr>
    <w:rPr>
      <w:rFonts w:ascii="Arial" w:eastAsia="Arial" w:hAnsi="Arial" w:cs="Arial"/>
      <w:lang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91BB7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91BB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1BB7"/>
    <w:rPr>
      <w:rFonts w:ascii="Arial" w:eastAsia="Arial" w:hAnsi="Arial" w:cs="Arial"/>
      <w:lang w:eastAsia="ja-JP"/>
    </w:rPr>
  </w:style>
  <w:style w:type="paragraph" w:styleId="Rodap">
    <w:name w:val="footer"/>
    <w:basedOn w:val="Normal"/>
    <w:link w:val="RodapChar"/>
    <w:uiPriority w:val="99"/>
    <w:unhideWhenUsed/>
    <w:rsid w:val="00F91BB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1BB7"/>
    <w:rPr>
      <w:rFonts w:ascii="Arial" w:eastAsia="Arial" w:hAnsi="Arial" w:cs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sourc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08"/>
    <w:rsid w:val="000D486E"/>
    <w:rsid w:val="005C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4C1DE02B6FE474D85914C073417A1CE">
    <w:name w:val="A4C1DE02B6FE474D85914C073417A1CE"/>
    <w:rsid w:val="005C0C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Coelho Cruz</dc:creator>
  <cp:keywords/>
  <dc:description/>
  <cp:lastModifiedBy>Dennis Coelho Cruz</cp:lastModifiedBy>
  <cp:revision>1</cp:revision>
  <dcterms:created xsi:type="dcterms:W3CDTF">2026-05-21T13:46:00Z</dcterms:created>
  <dcterms:modified xsi:type="dcterms:W3CDTF">2026-05-21T13:47:00Z</dcterms:modified>
</cp:coreProperties>
</file>